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45" w:rsidRDefault="00D86845" w:rsidP="00D86845">
      <w:pPr>
        <w:jc w:val="center"/>
      </w:pPr>
      <w:bookmarkStart w:id="0" w:name="_Toc36722538"/>
      <w:r w:rsidRPr="00DA0B30">
        <w:rPr>
          <w:rFonts w:ascii="Century Gothic" w:eastAsia="Times New Roman" w:hAnsi="Century Gothic" w:cs="Times New Roman"/>
          <w:b/>
          <w:noProof/>
          <w:sz w:val="16"/>
          <w:szCs w:val="16"/>
        </w:rPr>
        <w:drawing>
          <wp:inline distT="0" distB="0" distL="0" distR="0" wp14:anchorId="594F6F37" wp14:editId="576A79CE">
            <wp:extent cx="1152525" cy="1390650"/>
            <wp:effectExtent l="19050" t="0" r="9525" b="0"/>
            <wp:docPr id="1" name="Picture 1" descr="UNIMA COLOUR LOGO HIGH 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A COLOUR LOGO HIGH RE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45" w:rsidRDefault="00D86845" w:rsidP="00D86845">
      <w:pPr>
        <w:jc w:val="center"/>
        <w:rPr>
          <w:rFonts w:ascii="Maiandra GD" w:hAnsi="Maiandra GD"/>
          <w:b/>
          <w:sz w:val="28"/>
          <w:szCs w:val="28"/>
        </w:rPr>
      </w:pPr>
      <w:r w:rsidRPr="00D86845">
        <w:rPr>
          <w:rFonts w:ascii="Maiandra GD" w:hAnsi="Maiandra GD"/>
          <w:b/>
          <w:sz w:val="28"/>
          <w:szCs w:val="28"/>
        </w:rPr>
        <w:t xml:space="preserve">COLLEGE OF MEDICINE </w:t>
      </w:r>
    </w:p>
    <w:p w:rsidR="00D86845" w:rsidRPr="00D86845" w:rsidRDefault="00D86845" w:rsidP="00D86845">
      <w:pPr>
        <w:jc w:val="center"/>
        <w:rPr>
          <w:rFonts w:ascii="Maiandra GD" w:hAnsi="Maiandra GD"/>
          <w:b/>
          <w:sz w:val="28"/>
          <w:szCs w:val="28"/>
        </w:rPr>
      </w:pPr>
    </w:p>
    <w:p w:rsidR="0089451D" w:rsidRDefault="00470BB0" w:rsidP="0089451D">
      <w:pPr>
        <w:pStyle w:val="Heading2"/>
        <w:spacing w:line="360" w:lineRule="auto"/>
        <w:rPr>
          <w:rFonts w:ascii="Gill Sans MT" w:hAnsi="Gill Sans MT"/>
          <w:sz w:val="24"/>
          <w:szCs w:val="24"/>
        </w:rPr>
      </w:pPr>
      <w:r w:rsidRPr="00D86845">
        <w:rPr>
          <w:rFonts w:ascii="Gill Sans MT" w:hAnsi="Gill Sans MT"/>
          <w:sz w:val="24"/>
          <w:szCs w:val="24"/>
        </w:rPr>
        <w:t xml:space="preserve">LIST OF </w:t>
      </w:r>
      <w:r w:rsidR="0089451D" w:rsidRPr="00D86845">
        <w:rPr>
          <w:rFonts w:ascii="Gill Sans MT" w:hAnsi="Gill Sans MT"/>
          <w:sz w:val="24"/>
          <w:szCs w:val="24"/>
        </w:rPr>
        <w:t>SUCCESSFUL PROPOSALS FOR HIGHER EDUCATION RESEARCH AND DEVELOPMENT FOR YOUNG RESEARCHERS</w:t>
      </w:r>
      <w:bookmarkEnd w:id="0"/>
      <w:r w:rsidR="00A47893" w:rsidRPr="00D86845">
        <w:rPr>
          <w:rFonts w:ascii="Gill Sans MT" w:hAnsi="Gill Sans MT"/>
          <w:sz w:val="24"/>
          <w:szCs w:val="24"/>
        </w:rPr>
        <w:t xml:space="preserve"> </w:t>
      </w:r>
      <w:r w:rsidR="0089451D" w:rsidRPr="00D86845">
        <w:rPr>
          <w:rFonts w:ascii="Gill Sans MT" w:hAnsi="Gill Sans MT"/>
          <w:sz w:val="24"/>
          <w:szCs w:val="24"/>
        </w:rPr>
        <w:t>(postgraduate)</w:t>
      </w:r>
      <w:r w:rsidRPr="00D86845">
        <w:rPr>
          <w:rFonts w:ascii="Gill Sans MT" w:hAnsi="Gill Sans MT"/>
          <w:sz w:val="24"/>
          <w:szCs w:val="24"/>
        </w:rPr>
        <w:t xml:space="preserve"> </w:t>
      </w:r>
    </w:p>
    <w:p w:rsidR="00B46445" w:rsidRPr="00B46445" w:rsidRDefault="00B46445" w:rsidP="00B46445">
      <w:bookmarkStart w:id="1" w:name="_GoBack"/>
      <w:bookmarkEnd w:id="1"/>
    </w:p>
    <w:p w:rsidR="00D86845" w:rsidRPr="00D86845" w:rsidRDefault="00D86845" w:rsidP="00D8684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Please find</w:t>
      </w:r>
      <w:r w:rsidRPr="00D86845">
        <w:rPr>
          <w:rFonts w:ascii="Maiandra GD" w:hAnsi="Maiandra GD"/>
          <w:sz w:val="24"/>
          <w:szCs w:val="24"/>
        </w:rPr>
        <w:t xml:space="preserve"> a list of successful students from </w:t>
      </w:r>
      <w:r>
        <w:rPr>
          <w:rFonts w:ascii="Maiandra GD" w:hAnsi="Maiandra GD"/>
          <w:sz w:val="24"/>
          <w:szCs w:val="24"/>
        </w:rPr>
        <w:t>College of Medicine</w:t>
      </w:r>
      <w:r w:rsidRPr="00D86845">
        <w:rPr>
          <w:rFonts w:ascii="Maiandra GD" w:hAnsi="Maiandra GD"/>
          <w:sz w:val="24"/>
          <w:szCs w:val="24"/>
        </w:rPr>
        <w:t xml:space="preserve"> to benefit from the Higher Education Research Development for postgraduate grants.  </w:t>
      </w:r>
    </w:p>
    <w:p w:rsidR="00D86845" w:rsidRDefault="00D86845" w:rsidP="00D86845">
      <w:pPr>
        <w:rPr>
          <w:rFonts w:ascii="Maiandra GD" w:hAnsi="Maiandra GD"/>
          <w:sz w:val="24"/>
          <w:szCs w:val="24"/>
        </w:rPr>
      </w:pPr>
      <w:r w:rsidRPr="00D86845">
        <w:rPr>
          <w:rFonts w:ascii="Maiandra GD" w:hAnsi="Maiandra GD"/>
          <w:sz w:val="24"/>
          <w:szCs w:val="24"/>
        </w:rPr>
        <w:t>You may recall that two years ago the Directorate of Higher Education introduced for the postgraduate students to benefit for research. For 2019/2020 the Ministry of Education advertised the same end 2019 and the final submission was 30th January</w:t>
      </w:r>
      <w:proofErr w:type="gramStart"/>
      <w:r w:rsidRPr="00D86845">
        <w:rPr>
          <w:rFonts w:ascii="Maiandra GD" w:hAnsi="Maiandra GD"/>
          <w:sz w:val="24"/>
          <w:szCs w:val="24"/>
        </w:rPr>
        <w:t>,2020</w:t>
      </w:r>
      <w:proofErr w:type="gramEnd"/>
      <w:r>
        <w:rPr>
          <w:rFonts w:ascii="Maiandra GD" w:hAnsi="Maiandra GD"/>
          <w:sz w:val="24"/>
          <w:szCs w:val="24"/>
        </w:rPr>
        <w:t>.</w:t>
      </w:r>
    </w:p>
    <w:p w:rsidR="00D86845" w:rsidRPr="00D86845" w:rsidRDefault="00D86845" w:rsidP="00D8684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There are plans</w:t>
      </w:r>
      <w:r w:rsidRPr="00D86845">
        <w:rPr>
          <w:rFonts w:ascii="Maiandra GD" w:hAnsi="Maiandra GD"/>
          <w:sz w:val="24"/>
          <w:szCs w:val="24"/>
        </w:rPr>
        <w:t xml:space="preserve"> to hold the awarding ceremony on either the 23rd or 24th of July</w:t>
      </w:r>
      <w:proofErr w:type="gramStart"/>
      <w:r w:rsidRPr="00D86845">
        <w:rPr>
          <w:rFonts w:ascii="Maiandra GD" w:hAnsi="Maiandra GD"/>
          <w:sz w:val="24"/>
          <w:szCs w:val="24"/>
        </w:rPr>
        <w:t>,2020</w:t>
      </w:r>
      <w:proofErr w:type="gramEnd"/>
      <w:r w:rsidRPr="00D86845">
        <w:rPr>
          <w:rFonts w:ascii="Maiandra GD" w:hAnsi="Maiandra GD"/>
          <w:sz w:val="24"/>
          <w:szCs w:val="24"/>
        </w:rPr>
        <w:t xml:space="preserve"> depending on the availability of the Minister of Education. Once the dates are confirmed you shall be communicated.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5840"/>
        <w:gridCol w:w="3125"/>
        <w:gridCol w:w="990"/>
        <w:gridCol w:w="3060"/>
        <w:gridCol w:w="1275"/>
      </w:tblGrid>
      <w:tr w:rsidR="0089451D" w:rsidRPr="00D86845" w:rsidTr="00A47893">
        <w:trPr>
          <w:trHeight w:val="527"/>
          <w:tblHeader/>
        </w:trPr>
        <w:tc>
          <w:tcPr>
            <w:tcW w:w="497" w:type="dxa"/>
            <w:noWrap/>
            <w:hideMark/>
          </w:tcPr>
          <w:p w:rsidR="0089451D" w:rsidRPr="00D86845" w:rsidRDefault="0089451D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5840" w:type="dxa"/>
            <w:hideMark/>
          </w:tcPr>
          <w:p w:rsidR="0089451D" w:rsidRPr="00D86845" w:rsidRDefault="0089451D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25" w:type="dxa"/>
            <w:hideMark/>
          </w:tcPr>
          <w:p w:rsidR="0089451D" w:rsidRPr="00D86845" w:rsidRDefault="0089451D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Researcher</w:t>
            </w:r>
          </w:p>
        </w:tc>
        <w:tc>
          <w:tcPr>
            <w:tcW w:w="893" w:type="dxa"/>
            <w:hideMark/>
          </w:tcPr>
          <w:p w:rsidR="0089451D" w:rsidRPr="00D86845" w:rsidRDefault="0089451D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060" w:type="dxa"/>
            <w:hideMark/>
          </w:tcPr>
          <w:p w:rsidR="0089451D" w:rsidRPr="00D86845" w:rsidRDefault="0089451D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1200" w:type="dxa"/>
            <w:hideMark/>
          </w:tcPr>
          <w:p w:rsidR="0089451D" w:rsidRPr="00D86845" w:rsidRDefault="0089451D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Institution</w:t>
            </w:r>
          </w:p>
        </w:tc>
      </w:tr>
      <w:tr w:rsidR="0089451D" w:rsidRPr="00D86845" w:rsidTr="00A47893">
        <w:trPr>
          <w:trHeight w:val="300"/>
        </w:trPr>
        <w:tc>
          <w:tcPr>
            <w:tcW w:w="497" w:type="dxa"/>
            <w:noWrap/>
            <w:hideMark/>
          </w:tcPr>
          <w:p w:rsidR="0089451D" w:rsidRPr="00D86845" w:rsidRDefault="0089451D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0" w:type="dxa"/>
            <w:noWrap/>
            <w:hideMark/>
          </w:tcPr>
          <w:p w:rsidR="0089451D" w:rsidRPr="00D86845" w:rsidRDefault="0089451D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MASTER PROPOSALS</w:t>
            </w:r>
          </w:p>
        </w:tc>
        <w:tc>
          <w:tcPr>
            <w:tcW w:w="3125" w:type="dxa"/>
            <w:noWrap/>
            <w:hideMark/>
          </w:tcPr>
          <w:p w:rsidR="0089451D" w:rsidRPr="00D86845" w:rsidRDefault="0089451D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89451D" w:rsidRPr="00D86845" w:rsidRDefault="0089451D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89451D" w:rsidRPr="00D86845" w:rsidRDefault="0089451D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89451D" w:rsidRPr="00D86845" w:rsidRDefault="0089451D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 </w:t>
            </w:r>
          </w:p>
        </w:tc>
      </w:tr>
      <w:tr w:rsidR="00A47893" w:rsidRPr="00D86845" w:rsidTr="00A47893">
        <w:trPr>
          <w:trHeight w:val="615"/>
        </w:trPr>
        <w:tc>
          <w:tcPr>
            <w:tcW w:w="497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4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Comparison of six &amp; twelve month’s attrition rates, before and after implementation of Universal HIV Test and Treat policy in Malawi.</w:t>
            </w:r>
          </w:p>
        </w:tc>
        <w:tc>
          <w:tcPr>
            <w:tcW w:w="3125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Matola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Bilaal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 xml:space="preserve"> Wilson </w:t>
            </w:r>
          </w:p>
        </w:tc>
        <w:tc>
          <w:tcPr>
            <w:tcW w:w="893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M</w:t>
            </w:r>
          </w:p>
        </w:tc>
        <w:tc>
          <w:tcPr>
            <w:tcW w:w="3060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Dr. Peter Macpherson</w:t>
            </w:r>
          </w:p>
        </w:tc>
        <w:tc>
          <w:tcPr>
            <w:tcW w:w="120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COM</w:t>
            </w:r>
          </w:p>
        </w:tc>
      </w:tr>
      <w:tr w:rsidR="00A47893" w:rsidRPr="00D86845" w:rsidTr="00A47893">
        <w:trPr>
          <w:trHeight w:val="915"/>
        </w:trPr>
        <w:tc>
          <w:tcPr>
            <w:tcW w:w="497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84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 xml:space="preserve">Comparison Of Malaria Parasite Clearance Times During Quinine And </w:t>
            </w: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Artesunate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 xml:space="preserve"> Administration For Cerebral Malaria In Blantyre, Malawi</w:t>
            </w:r>
          </w:p>
        </w:tc>
        <w:tc>
          <w:tcPr>
            <w:tcW w:w="3125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Saidi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Alexuse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Mustaph</w:t>
            </w:r>
            <w:proofErr w:type="spellEnd"/>
          </w:p>
        </w:tc>
        <w:tc>
          <w:tcPr>
            <w:tcW w:w="893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M</w:t>
            </w:r>
          </w:p>
        </w:tc>
        <w:tc>
          <w:tcPr>
            <w:tcW w:w="3060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 xml:space="preserve">Dr. </w:t>
            </w: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Tonny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 xml:space="preserve"> Nyirenda</w:t>
            </w:r>
          </w:p>
        </w:tc>
        <w:tc>
          <w:tcPr>
            <w:tcW w:w="120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COM</w:t>
            </w:r>
          </w:p>
        </w:tc>
      </w:tr>
      <w:tr w:rsidR="00A47893" w:rsidRPr="00D86845" w:rsidTr="00A47893">
        <w:trPr>
          <w:trHeight w:val="682"/>
        </w:trPr>
        <w:tc>
          <w:tcPr>
            <w:tcW w:w="497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4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Challenges Experienced By Caregivers Of Adolescents Living With HIV And Mental Health Problems</w:t>
            </w:r>
          </w:p>
        </w:tc>
        <w:tc>
          <w:tcPr>
            <w:tcW w:w="3125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Chakani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 xml:space="preserve"> Esther </w:t>
            </w: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Chimwemwe</w:t>
            </w:r>
            <w:proofErr w:type="spellEnd"/>
          </w:p>
        </w:tc>
        <w:tc>
          <w:tcPr>
            <w:tcW w:w="893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F</w:t>
            </w:r>
          </w:p>
        </w:tc>
        <w:tc>
          <w:tcPr>
            <w:tcW w:w="3060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Dr. ERIC UMAR</w:t>
            </w:r>
          </w:p>
        </w:tc>
        <w:tc>
          <w:tcPr>
            <w:tcW w:w="120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COM</w:t>
            </w:r>
          </w:p>
        </w:tc>
      </w:tr>
      <w:tr w:rsidR="00A47893" w:rsidRPr="00D86845" w:rsidTr="00A47893">
        <w:trPr>
          <w:trHeight w:val="919"/>
        </w:trPr>
        <w:tc>
          <w:tcPr>
            <w:tcW w:w="497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4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An assessment of quality of life among patients with type II diabetes mellitus at Kamuzu Central hospital in Lilongwe, Malawi</w:t>
            </w:r>
          </w:p>
        </w:tc>
        <w:tc>
          <w:tcPr>
            <w:tcW w:w="3125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Chisalunda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Alinafe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Venancio</w:t>
            </w:r>
            <w:proofErr w:type="spellEnd"/>
          </w:p>
        </w:tc>
        <w:tc>
          <w:tcPr>
            <w:tcW w:w="893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F</w:t>
            </w:r>
          </w:p>
        </w:tc>
        <w:tc>
          <w:tcPr>
            <w:tcW w:w="3060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Dr. Linda Nyondo Mipando</w:t>
            </w:r>
          </w:p>
        </w:tc>
        <w:tc>
          <w:tcPr>
            <w:tcW w:w="120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COM</w:t>
            </w:r>
          </w:p>
        </w:tc>
      </w:tr>
      <w:tr w:rsidR="00A47893" w:rsidRPr="00D86845" w:rsidTr="00A47893">
        <w:trPr>
          <w:trHeight w:val="915"/>
        </w:trPr>
        <w:tc>
          <w:tcPr>
            <w:tcW w:w="497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4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 xml:space="preserve">The prevalence of tooth brushing habits associated with fluoride tooth paste and other related determinants amongst the secondary school going children: A cross section study in </w:t>
            </w: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Thyolo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 xml:space="preserve"> Rural South.</w:t>
            </w:r>
          </w:p>
        </w:tc>
        <w:tc>
          <w:tcPr>
            <w:tcW w:w="3125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Goffat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 xml:space="preserve"> Wallace </w:t>
            </w: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Hestings</w:t>
            </w:r>
            <w:proofErr w:type="spellEnd"/>
          </w:p>
        </w:tc>
        <w:tc>
          <w:tcPr>
            <w:tcW w:w="893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M</w:t>
            </w:r>
          </w:p>
        </w:tc>
        <w:tc>
          <w:tcPr>
            <w:tcW w:w="3060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Prof. Adamson Muula</w:t>
            </w:r>
          </w:p>
        </w:tc>
        <w:tc>
          <w:tcPr>
            <w:tcW w:w="120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COM</w:t>
            </w:r>
          </w:p>
        </w:tc>
      </w:tr>
      <w:tr w:rsidR="00A47893" w:rsidRPr="00D86845" w:rsidTr="00A47893">
        <w:trPr>
          <w:trHeight w:val="615"/>
        </w:trPr>
        <w:tc>
          <w:tcPr>
            <w:tcW w:w="497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4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Exploring the Effects of Isoniazid Preventive Therapy on ART Adherence in Adolescents Living with HIV at Baylor College of Medicine Centre of Excellence in Lilongwe.</w:t>
            </w:r>
          </w:p>
        </w:tc>
        <w:tc>
          <w:tcPr>
            <w:tcW w:w="3125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Villiera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 xml:space="preserve"> Jimmy Ba</w:t>
            </w:r>
          </w:p>
        </w:tc>
        <w:tc>
          <w:tcPr>
            <w:tcW w:w="893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M</w:t>
            </w:r>
          </w:p>
        </w:tc>
        <w:tc>
          <w:tcPr>
            <w:tcW w:w="3060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Dr. Linda Nyondo-Mipando</w:t>
            </w:r>
          </w:p>
        </w:tc>
        <w:tc>
          <w:tcPr>
            <w:tcW w:w="120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COM</w:t>
            </w:r>
          </w:p>
        </w:tc>
      </w:tr>
      <w:tr w:rsidR="00A47893" w:rsidRPr="00D86845" w:rsidTr="00A47893">
        <w:trPr>
          <w:trHeight w:val="615"/>
        </w:trPr>
        <w:tc>
          <w:tcPr>
            <w:tcW w:w="497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b/>
                <w:bCs/>
                <w:sz w:val="24"/>
                <w:szCs w:val="24"/>
              </w:rPr>
              <w:t>PhD PROPOSALS</w:t>
            </w:r>
          </w:p>
        </w:tc>
        <w:tc>
          <w:tcPr>
            <w:tcW w:w="3125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3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47893" w:rsidRPr="00D86845" w:rsidTr="00A47893">
        <w:trPr>
          <w:trHeight w:val="915"/>
        </w:trPr>
        <w:tc>
          <w:tcPr>
            <w:tcW w:w="497" w:type="dxa"/>
            <w:noWrap/>
            <w:hideMark/>
          </w:tcPr>
          <w:p w:rsidR="00A47893" w:rsidRPr="00D86845" w:rsidRDefault="00D86845" w:rsidP="001541FE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4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Assessing the preparedness of the primary health care system to deliver diabetes mellitus prevention and control in Blantyre district, Malawi</w:t>
            </w:r>
          </w:p>
        </w:tc>
        <w:tc>
          <w:tcPr>
            <w:tcW w:w="3125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 xml:space="preserve">Mrs. </w:t>
            </w:r>
            <w:proofErr w:type="spellStart"/>
            <w:r w:rsidRPr="00D86845">
              <w:rPr>
                <w:rFonts w:ascii="Maiandra GD" w:hAnsi="Maiandra GD"/>
                <w:sz w:val="24"/>
                <w:szCs w:val="24"/>
              </w:rPr>
              <w:t>Kwanjo</w:t>
            </w:r>
            <w:proofErr w:type="spellEnd"/>
            <w:r w:rsidRPr="00D86845">
              <w:rPr>
                <w:rFonts w:ascii="Maiandra GD" w:hAnsi="Maiandra GD"/>
                <w:sz w:val="24"/>
                <w:szCs w:val="24"/>
              </w:rPr>
              <w:t>-Banda</w:t>
            </w:r>
          </w:p>
        </w:tc>
        <w:tc>
          <w:tcPr>
            <w:tcW w:w="893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F</w:t>
            </w:r>
          </w:p>
        </w:tc>
        <w:tc>
          <w:tcPr>
            <w:tcW w:w="3060" w:type="dxa"/>
            <w:noWrap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Prof. Adamson S. Muula</w:t>
            </w:r>
          </w:p>
        </w:tc>
        <w:tc>
          <w:tcPr>
            <w:tcW w:w="1200" w:type="dxa"/>
            <w:hideMark/>
          </w:tcPr>
          <w:p w:rsidR="00A47893" w:rsidRPr="00D86845" w:rsidRDefault="00A47893" w:rsidP="001541FE">
            <w:pPr>
              <w:rPr>
                <w:rFonts w:ascii="Maiandra GD" w:hAnsi="Maiandra GD"/>
                <w:sz w:val="24"/>
                <w:szCs w:val="24"/>
              </w:rPr>
            </w:pPr>
            <w:r w:rsidRPr="00D86845">
              <w:rPr>
                <w:rFonts w:ascii="Maiandra GD" w:hAnsi="Maiandra GD"/>
                <w:sz w:val="24"/>
                <w:szCs w:val="24"/>
              </w:rPr>
              <w:t>COM</w:t>
            </w:r>
          </w:p>
        </w:tc>
      </w:tr>
    </w:tbl>
    <w:p w:rsidR="00D86845" w:rsidRDefault="00D86845" w:rsidP="00D86845"/>
    <w:sectPr w:rsidR="00D86845" w:rsidSect="00D86845">
      <w:pgSz w:w="16838" w:h="11906" w:orient="landscape"/>
      <w:pgMar w:top="990" w:right="70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451D"/>
    <w:rsid w:val="003F37E6"/>
    <w:rsid w:val="00470BB0"/>
    <w:rsid w:val="00643A61"/>
    <w:rsid w:val="007A6B74"/>
    <w:rsid w:val="0089451D"/>
    <w:rsid w:val="00A47893"/>
    <w:rsid w:val="00B46445"/>
    <w:rsid w:val="00D71944"/>
    <w:rsid w:val="00D86845"/>
    <w:rsid w:val="00F006A8"/>
    <w:rsid w:val="00F2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7D4B2-47D5-4A31-B91B-C532BB6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1D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5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89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2020-07-09T22:23:00Z</dcterms:created>
  <dcterms:modified xsi:type="dcterms:W3CDTF">2020-07-15T18:51:00Z</dcterms:modified>
</cp:coreProperties>
</file>